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4E" w:rsidRPr="0026475F" w:rsidRDefault="0058184E" w:rsidP="0058184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val="uz-Cyrl-UZ"/>
        </w:rPr>
      </w:pPr>
      <w:r w:rsidRPr="0026475F">
        <w:rPr>
          <w:b/>
          <w:bCs/>
          <w:szCs w:val="28"/>
          <w:lang w:val="uz-Cyrl-UZ"/>
        </w:rPr>
        <w:t>UMUMIY O‘RTA TA'LIMNING</w:t>
      </w:r>
    </w:p>
    <w:p w:rsidR="0058184E" w:rsidRPr="00203449" w:rsidRDefault="0058184E" w:rsidP="0058184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val="en-US"/>
        </w:rPr>
      </w:pPr>
      <w:r w:rsidRPr="00D910F9">
        <w:rPr>
          <w:b/>
          <w:bCs/>
          <w:szCs w:val="28"/>
          <w:lang w:val="en-US"/>
        </w:rPr>
        <w:t>10-</w:t>
      </w:r>
      <w:r w:rsidRPr="00203449">
        <w:rPr>
          <w:b/>
          <w:bCs/>
          <w:szCs w:val="28"/>
          <w:lang w:val="en-US"/>
        </w:rPr>
        <w:t xml:space="preserve">«______» </w:t>
      </w:r>
      <w:r w:rsidRPr="00D910F9">
        <w:rPr>
          <w:b/>
          <w:bCs/>
          <w:szCs w:val="28"/>
          <w:lang w:val="en-US"/>
        </w:rPr>
        <w:t>SINF UCHUN</w:t>
      </w:r>
      <w:r w:rsidRPr="00203449">
        <w:rPr>
          <w:b/>
          <w:bCs/>
          <w:szCs w:val="28"/>
          <w:lang w:val="en-US"/>
        </w:rPr>
        <w:t xml:space="preserve"> TAQVIM MAVZU REJA</w:t>
      </w:r>
    </w:p>
    <w:p w:rsidR="0058184E" w:rsidRPr="00203449" w:rsidRDefault="0058184E" w:rsidP="0058184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val="en-US"/>
        </w:rPr>
      </w:pPr>
    </w:p>
    <w:tbl>
      <w:tblPr>
        <w:tblW w:w="9181" w:type="dxa"/>
        <w:tblCellSpacing w:w="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7"/>
        <w:gridCol w:w="5826"/>
        <w:gridCol w:w="1153"/>
        <w:gridCol w:w="835"/>
      </w:tblGrid>
      <w:tr w:rsidR="0058184E" w:rsidRPr="00D910F9" w:rsidTr="00A6075B">
        <w:trPr>
          <w:tblCellSpacing w:w="0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D910F9">
              <w:rPr>
                <w:szCs w:val="28"/>
              </w:rPr>
              <w:t>dars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D910F9">
              <w:rPr>
                <w:szCs w:val="28"/>
              </w:rPr>
              <w:t>mavzu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D910F9">
              <w:rPr>
                <w:szCs w:val="28"/>
              </w:rPr>
              <w:t>soat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D910F9">
              <w:rPr>
                <w:szCs w:val="28"/>
              </w:rPr>
              <w:t>vaqti</w:t>
            </w: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83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I BO‘LIM. O‘ZBeKISTON ReSPUBLIKASINING</w:t>
            </w:r>
          </w:p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D910F9">
              <w:rPr>
                <w:szCs w:val="28"/>
              </w:rPr>
              <w:t>XALQARO HUQUQ SUB'eKTI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 xml:space="preserve">Kirish. Huquq – shaxs va davlat munosabatlarining mustahkam asosi.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Qonunning ustuvorligi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3-dars.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Xalqaro huquq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4-dars.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Birlashgan millatlar tashkilotnining maqsad va vazifasi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5-dars.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Inson huquq va erkinliklarning himoya qilish mexanizmi.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6-dars.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Amaliy mashg‘ulot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E54752" w:rsidTr="00A6075B">
        <w:tblPrEx>
          <w:tblCellSpacing w:w="-8" w:type="dxa"/>
        </w:tblPrEx>
        <w:trPr>
          <w:tblCellSpacing w:w="-8" w:type="dxa"/>
        </w:trPr>
        <w:tc>
          <w:tcPr>
            <w:tcW w:w="9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  <w:lang w:val="en-US"/>
              </w:rPr>
            </w:pPr>
            <w:r w:rsidRPr="00D910F9">
              <w:rPr>
                <w:b/>
                <w:bCs/>
                <w:szCs w:val="28"/>
                <w:lang w:val="en-US"/>
              </w:rPr>
              <w:t>II BO‘LIM. KONSTITUTSIYAVIY HUQUQ – HUQUQNING BOSH SOHASI</w:t>
            </w: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7-dars.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“O‘zbekiston Respublikasining konstitutsiyaviy tuzum asoslari”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8-dars.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O‘zbekiston Respublikasi konstitutsiyaviy tuzumining asosi sifatida insonparvarlik tamoyili.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9-dars.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Takrorlash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E54752" w:rsidTr="00A6075B">
        <w:tblPrEx>
          <w:tblCellSpacing w:w="-8" w:type="dxa"/>
        </w:tblPrEx>
        <w:trPr>
          <w:tblCellSpacing w:w="-8" w:type="dxa"/>
        </w:trPr>
        <w:tc>
          <w:tcPr>
            <w:tcW w:w="9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  <w:lang w:val="en-US"/>
              </w:rPr>
            </w:pPr>
            <w:r w:rsidRPr="00D910F9">
              <w:rPr>
                <w:b/>
                <w:bCs/>
                <w:szCs w:val="28"/>
                <w:lang w:val="en-US"/>
              </w:rPr>
              <w:t>III BO‘LIM. MA'MURIY HUQUQ</w:t>
            </w: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10-dars.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Ma'muriy huquq sohasining Konstitutsiyaviy asoslari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11-dars.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Ma'muriy huquqbuzarlik va ma'muriy javobgarlik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12-dars.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Ma'muriy jazo va uning turlari.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13-dars.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Amaliy mashg‘ulot.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E54752" w:rsidTr="00A6075B">
        <w:tblPrEx>
          <w:tblCellSpacing w:w="-8" w:type="dxa"/>
        </w:tblPrEx>
        <w:trPr>
          <w:tblCellSpacing w:w="-8" w:type="dxa"/>
        </w:trPr>
        <w:tc>
          <w:tcPr>
            <w:tcW w:w="9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  <w:lang w:val="en-US"/>
              </w:rPr>
            </w:pPr>
            <w:r w:rsidRPr="00D910F9">
              <w:rPr>
                <w:b/>
                <w:bCs/>
                <w:szCs w:val="28"/>
                <w:lang w:val="en-US"/>
              </w:rPr>
              <w:t>IV BO‘LIM. FUQAROLIK HUQUQI</w:t>
            </w: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14-dars.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Fuqarolik huquqi manbalari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15-dars.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O‘zbekiston Respublikasining fuqaroligi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16-dars.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Mulk huquqi va boshqa ashyoviy huquqlar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17-dars.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 xml:space="preserve">Bitimlar va vakillik.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18-dars.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Shartnoma tushunchasi va shartlari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19-dars.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Takrorlash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20-dars.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Iste'molchilar huquqlari va majburiyatlari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21-dars.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Ishlab chiqaruvchi tomonidan tovar sifatini kafolati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22-dars.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Intelektual mulk huquqi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23-dars.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Fuqarolik ishlarini sudda ko‘rish bosqichlari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24-dars.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Amaliy mashg‘ulot.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25-dars.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Takrorlash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E54752" w:rsidTr="00A6075B">
        <w:tblPrEx>
          <w:tblCellSpacing w:w="-8" w:type="dxa"/>
        </w:tblPrEx>
        <w:trPr>
          <w:tblCellSpacing w:w="-8" w:type="dxa"/>
        </w:trPr>
        <w:tc>
          <w:tcPr>
            <w:tcW w:w="9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8"/>
                <w:lang w:val="en-US"/>
              </w:rPr>
            </w:pPr>
            <w:r w:rsidRPr="00D910F9">
              <w:rPr>
                <w:b/>
                <w:bCs/>
                <w:szCs w:val="28"/>
                <w:lang w:val="en-US"/>
              </w:rPr>
              <w:t>V BO‘LIM. MEHNAT HUQUQI</w:t>
            </w: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lastRenderedPageBreak/>
              <w:t>26-dars.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Mehnatga oid munosabatlar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27-dars.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Ishga qabul qilish va mehnat shartnomasi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28-dars.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Mehnat shartnomasini tuzish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29-dars.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Ish vaqti va dam olish vaqti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30-dars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val="en-US"/>
              </w:rPr>
            </w:pPr>
            <w:r w:rsidRPr="00D910F9">
              <w:rPr>
                <w:szCs w:val="28"/>
                <w:lang w:val="en-US"/>
              </w:rPr>
              <w:t>Mehnatga haq to‘lash. Mehnat intizomi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31-dars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Mehnatni muhofaza qilish. Qo‘shimcha imtiyoz va kafolatlar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32-dars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Mehnat nizolari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33-dars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Amaliy mashg‘ulot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  <w:tr w:rsidR="0058184E" w:rsidRPr="00D910F9" w:rsidTr="00A6075B">
        <w:tblPrEx>
          <w:tblCellSpacing w:w="-8" w:type="dxa"/>
        </w:tblPrEx>
        <w:trPr>
          <w:tblCellSpacing w:w="-8" w:type="dxa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34-dars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Nazorat ishi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910F9">
              <w:rPr>
                <w:szCs w:val="28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84E" w:rsidRPr="00D910F9" w:rsidRDefault="0058184E" w:rsidP="00A6075B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</w:tr>
    </w:tbl>
    <w:p w:rsidR="0058184E" w:rsidRPr="00D910F9" w:rsidRDefault="0058184E" w:rsidP="0058184E">
      <w:pPr>
        <w:autoSpaceDE w:val="0"/>
        <w:autoSpaceDN w:val="0"/>
        <w:adjustRightInd w:val="0"/>
        <w:spacing w:after="195"/>
        <w:rPr>
          <w:szCs w:val="28"/>
        </w:rPr>
      </w:pPr>
    </w:p>
    <w:p w:rsidR="00AE23C6" w:rsidRDefault="00AE23C6">
      <w:bookmarkStart w:id="0" w:name="_GoBack"/>
      <w:bookmarkEnd w:id="0"/>
    </w:p>
    <w:sectPr w:rsidR="00AE23C6" w:rsidSect="0053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4E"/>
    <w:rsid w:val="0058184E"/>
    <w:rsid w:val="00A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DBFBC-1388-43C8-820C-87CD14D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4E"/>
    <w:pPr>
      <w:spacing w:after="200" w:line="276" w:lineRule="auto"/>
    </w:pPr>
    <w:rPr>
      <w:rFonts w:ascii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2017-08-26T09:40:00Z</dcterms:created>
  <dcterms:modified xsi:type="dcterms:W3CDTF">2017-08-26T09:41:00Z</dcterms:modified>
</cp:coreProperties>
</file>